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12 (Clustering)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When you should use this Schedule</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b w:val="1"/>
          <w:color w:val="000000"/>
          <w:sz w:val="24"/>
          <w:szCs w:val="24"/>
          <w:rtl w:val="0"/>
        </w:rPr>
        <w:t xml:space="preserve">“Cluster Members"</w:t>
      </w:r>
      <w:r w:rsidDel="00000000" w:rsidR="00000000" w:rsidRPr="00000000">
        <w:rPr>
          <w:color w:val="000000"/>
          <w:sz w:val="24"/>
          <w:szCs w:val="24"/>
          <w:rtl w:val="0"/>
        </w:rPr>
        <w:t xml:space="preserve"> means a person named as such </w:t>
      </w:r>
      <w:r w:rsidDel="00000000" w:rsidR="00000000" w:rsidRPr="00000000">
        <w:rPr>
          <w:color w:val="000000"/>
          <w:sz w:val="24"/>
          <w:szCs w:val="24"/>
          <w:rtl w:val="0"/>
        </w:rPr>
        <w:t xml:space="preserve">in the Annex</w:t>
      </w:r>
      <w:r w:rsidDel="00000000" w:rsidR="00000000" w:rsidRPr="00000000">
        <w:rPr>
          <w:color w:val="000000"/>
          <w:sz w:val="24"/>
          <w:szCs w:val="24"/>
          <w:rtl w:val="0"/>
        </w:rPr>
        <w:t xml:space="preserve"> A to this Schedule which shall be incorporated into the Order Form. </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Cluster Members benefits under the Contract</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has entered into this Call-Off Contract both for its own benefit and for the </w:t>
      </w:r>
      <w:r w:rsidDel="00000000" w:rsidR="00000000" w:rsidRPr="00000000">
        <w:rPr>
          <w:sz w:val="24"/>
          <w:szCs w:val="24"/>
          <w:rtl w:val="0"/>
        </w:rPr>
        <w:t xml:space="preserve">benefit of the</w:t>
      </w:r>
      <w:r w:rsidDel="00000000" w:rsidR="00000000" w:rsidRPr="00000000">
        <w:rPr>
          <w:color w:val="000000"/>
          <w:sz w:val="24"/>
          <w:szCs w:val="24"/>
          <w:rtl w:val="0"/>
        </w:rPr>
        <w:t xml:space="preserve"> Cluster Members.  </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Cluster Members who are to benefit under the Call-Off Contract are identified in Annex 1 to this Schedule which shall be included </w:t>
      </w:r>
      <w:r w:rsidDel="00000000" w:rsidR="00000000" w:rsidRPr="00000000">
        <w:rPr>
          <w:sz w:val="24"/>
          <w:szCs w:val="24"/>
          <w:rtl w:val="0"/>
        </w:rPr>
        <w:t xml:space="preserve">in the</w:t>
      </w:r>
      <w:r w:rsidDel="00000000" w:rsidR="00000000" w:rsidRPr="00000000">
        <w:rPr>
          <w:color w:val="000000"/>
          <w:sz w:val="24"/>
          <w:szCs w:val="24"/>
          <w:rtl w:val="0"/>
        </w:rPr>
        <w:t xml:space="preserve"> Order Form.</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Each of the Cluster Members will be a third party beneficiary for the purposes of the CRTPA and may enforce the relevant provisions of a Call-Off Contract pursuant </w:t>
      </w:r>
      <w:r w:rsidDel="00000000" w:rsidR="00000000" w:rsidRPr="00000000">
        <w:rPr>
          <w:color w:val="000000"/>
          <w:sz w:val="24"/>
          <w:szCs w:val="24"/>
          <w:rtl w:val="0"/>
        </w:rPr>
        <w:t xml:space="preserve">to CRTPA</w:t>
      </w:r>
      <w:r w:rsidDel="00000000" w:rsidR="00000000" w:rsidRPr="00000000">
        <w:rPr>
          <w:color w:val="000000"/>
          <w:sz w:val="24"/>
          <w:szCs w:val="24"/>
          <w:rtl w:val="0"/>
        </w:rPr>
        <w:t xml:space="preserve">.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Parties to a Call-Off Contract </w:t>
      </w:r>
      <w:r w:rsidDel="00000000" w:rsidR="00000000" w:rsidRPr="00000000">
        <w:rPr>
          <w:sz w:val="24"/>
          <w:szCs w:val="24"/>
          <w:rtl w:val="0"/>
        </w:rPr>
        <w:t xml:space="preserve">may, in accordance</w:t>
      </w:r>
      <w:r w:rsidDel="00000000" w:rsidR="00000000" w:rsidRPr="00000000">
        <w:rPr>
          <w:color w:val="000000"/>
          <w:sz w:val="24"/>
          <w:szCs w:val="24"/>
          <w:rtl w:val="0"/>
        </w:rPr>
        <w:t xml:space="preserve"> with its </w:t>
      </w:r>
      <w:r w:rsidDel="00000000" w:rsidR="00000000" w:rsidRPr="00000000">
        <w:rPr>
          <w:sz w:val="24"/>
          <w:szCs w:val="24"/>
          <w:rtl w:val="0"/>
        </w:rPr>
        <w:t xml:space="preserve">provisions, vary</w:t>
      </w:r>
      <w:r w:rsidDel="00000000" w:rsidR="00000000" w:rsidRPr="00000000">
        <w:rPr>
          <w:color w:val="000000"/>
          <w:sz w:val="24"/>
          <w:szCs w:val="24"/>
          <w:rtl w:val="0"/>
        </w:rPr>
        <w:t xml:space="preserve">, terminate or rescind that Call-Off Contract or any part of it, without the consent of any Cluster Member.</w:t>
      </w:r>
    </w:p>
    <w:p w:rsidR="00000000" w:rsidDel="00000000" w:rsidP="00000000" w:rsidRDefault="00000000" w:rsidRPr="00000000" w14:paraId="0000000D">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enforcement rights granted to Cluster Members under Paragraph 3.4 are subject to the following provisions: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the Buyer may enforce any provision of a Call-Off Contract on behalf of a Cluster Member; </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Services will be provided by the Supplier to each Cluster Member and Buyer separately; </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obligation in regards to reporting will be owed to each Cluster Member and Buyer separately;</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Buyer and Cluster Members shall be entitled to separate invoices in respect of the provision of Deliverables;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separate invoices will correlate to the Deliverables provided to the respective Buyer and Cluster Members;</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such further adjustments as the Buyer and each Cluster Member may </w:t>
      </w:r>
      <w:r w:rsidDel="00000000" w:rsidR="00000000" w:rsidRPr="00000000">
        <w:rPr>
          <w:color w:val="000000"/>
          <w:sz w:val="24"/>
          <w:szCs w:val="24"/>
          <w:rtl w:val="0"/>
        </w:rPr>
        <w:t xml:space="preserve">notify to the</w:t>
      </w:r>
      <w:r w:rsidDel="00000000" w:rsidR="00000000" w:rsidRPr="00000000">
        <w:rPr>
          <w:color w:val="000000"/>
          <w:sz w:val="24"/>
          <w:szCs w:val="24"/>
          <w:rtl w:val="0"/>
        </w:rPr>
        <w:t xml:space="preserv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pBdr>
          <w:top w:space="0" w:sz="0" w:val="nil"/>
          <w:left w:space="0" w:sz="0" w:val="nil"/>
          <w:bottom w:space="0" w:sz="0" w:val="nil"/>
          <w:right w:space="0" w:sz="0" w:val="nil"/>
          <w:between w:space="0" w:sz="0" w:val="nil"/>
        </w:pBdr>
        <w:ind w:left="0" w:firstLine="0"/>
        <w:jc w:val="left"/>
        <w:rPr>
          <w:rFonts w:ascii="Calibri" w:cs="Calibri" w:eastAsia="Calibri" w:hAnsi="Calibri"/>
          <w:b w:val="1"/>
          <w:color w:val="000000"/>
          <w:sz w:val="24"/>
          <w:szCs w:val="24"/>
          <w:u w:val="singl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RM6261</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22</w:t>
    </w:r>
    <w:r w:rsidDel="00000000" w:rsidR="00000000" w:rsidRPr="00000000">
      <w:rPr>
        <w:rtl w:val="0"/>
      </w:rPr>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1440" w:hanging="720"/>
    </w:pPr>
    <w:rPr>
      <w:rFonts w:ascii="Times New Roman" w:cs="Times New Roman" w:eastAsia="Times New Roman" w:hAnsi="Times New Roman"/>
    </w:rPr>
  </w:style>
  <w:style w:type="paragraph" w:styleId="Heading3">
    <w:name w:val="heading 3"/>
    <w:basedOn w:val="Normal"/>
    <w:next w:val="Normal"/>
    <w:pPr>
      <w:ind w:left="2160" w:hanging="720"/>
    </w:pPr>
    <w:rPr>
      <w:rFonts w:ascii="Times New Roman" w:cs="Times New Roman" w:eastAsia="Times New Roman" w:hAnsi="Times New Roman"/>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link w:val="Heading1Char"/>
    <w:qFormat w:val="1"/>
    <w:pPr>
      <w:numPr>
        <w:numId w:val="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tabs>
        <w:tab w:val="left" w:pos="-9"/>
        <w:tab w:val="num" w:pos="720"/>
      </w:tabs>
      <w:spacing w:after="120"/>
      <w:ind w:left="720" w:hanging="720"/>
    </w:pPr>
  </w:style>
  <w:style w:type="paragraph" w:styleId="GPSDefinitionL2" w:customStyle="1">
    <w:name w:val="GPS Definition L2"/>
    <w:basedOn w:val="GPsDefinition"/>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rPr>
      <w:rFonts w:ascii="Calibri" w:cs="Calibri" w:eastAsia="Calibri" w:hAnsi="Calibri"/>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XmWO2Of1tooFlnbXed+XRL5flQ==">AMUW2mXMjJfyNMGm/FKOI3HUP12IZ+3yv/hUYkyDL3z25gB4FEY8OpR2jBta+9Qdj+FazrZUy0zUfI4OxuybLeTdEwb5egJFTit2ZcCBA167oZLof1AXY78a9SthZVgeONyt8CGTQqBh/BWCZt4iYFL5ZuK6hL+E63yEV0WeBCS3/HVhuo6S/1x80sZSkTM5ZreVS6LHosDs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